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EC0B4D" wp14:editId="4DCFB664">
                <wp:simplePos x="0" y="0"/>
                <wp:positionH relativeFrom="column">
                  <wp:posOffset>4370070</wp:posOffset>
                </wp:positionH>
                <wp:positionV relativeFrom="paragraph">
                  <wp:posOffset>30480</wp:posOffset>
                </wp:positionV>
                <wp:extent cx="207835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835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2F2AD" w14:textId="0406699A" w:rsidR="00812C65" w:rsidRPr="00E00F29" w:rsidRDefault="00812C65" w:rsidP="00380774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44.1pt;margin-top:2.4pt;width:163.65pt;height:24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" filled="f" stroked="f">
                <v:textbox>
                  <w:txbxContent>
                    <w:p w14:paraId="6DC2F2AD" w14:textId="0406699A" w:rsidR="00812C65" w:rsidRPr="00E00F29" w:rsidRDefault="00812C65" w:rsidP="00380774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9E20ABD"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7A9DA6B0" w14:textId="440E49BE" w:rsidR="001904C3" w:rsidRDefault="00160B06" w:rsidP="00AC7E32">
      <w:pPr>
        <w:pStyle w:val="Heading1"/>
      </w:pPr>
      <w:r>
        <w:t>Traceability</w:t>
      </w:r>
    </w:p>
    <w:p w14:paraId="431345C4" w14:textId="1C3D3F11" w:rsidR="00994AA6" w:rsidRDefault="00380774" w:rsidP="004678E2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53CCF243" w14:textId="27BB8BA9" w:rsidR="00160B06" w:rsidRPr="00160B06" w:rsidRDefault="00160B06" w:rsidP="00160B06">
      <w:pPr>
        <w:pStyle w:val="first-para"/>
        <w:rPr>
          <w:sz w:val="22"/>
          <w:szCs w:val="22"/>
        </w:rPr>
      </w:pPr>
      <w:r>
        <w:rPr>
          <w:sz w:val="22"/>
          <w:szCs w:val="22"/>
        </w:rPr>
        <w:t>T</w:t>
      </w:r>
      <w:r w:rsidRPr="00160B06">
        <w:rPr>
          <w:sz w:val="22"/>
          <w:szCs w:val="22"/>
        </w:rPr>
        <w:t xml:space="preserve">his course will help staff understand traceability, what is needed to support a claim of traceability, the various metrology </w:t>
      </w:r>
      <w:r>
        <w:rPr>
          <w:sz w:val="22"/>
          <w:szCs w:val="22"/>
        </w:rPr>
        <w:t>s</w:t>
      </w:r>
      <w:r w:rsidRPr="00160B06">
        <w:rPr>
          <w:sz w:val="22"/>
          <w:szCs w:val="22"/>
        </w:rPr>
        <w:t>ystems</w:t>
      </w:r>
      <w:r>
        <w:rPr>
          <w:sz w:val="22"/>
          <w:szCs w:val="22"/>
        </w:rPr>
        <w:t>,</w:t>
      </w:r>
      <w:r w:rsidRPr="00160B06">
        <w:rPr>
          <w:sz w:val="22"/>
          <w:szCs w:val="22"/>
        </w:rPr>
        <w:t xml:space="preserve"> how calibration fits into traceability, and key questions to ask about traceability to make sure </w:t>
      </w:r>
      <w:r>
        <w:rPr>
          <w:sz w:val="22"/>
          <w:szCs w:val="22"/>
        </w:rPr>
        <w:t>the laboratory’s</w:t>
      </w:r>
      <w:r w:rsidRPr="00160B06">
        <w:rPr>
          <w:sz w:val="22"/>
          <w:szCs w:val="22"/>
        </w:rPr>
        <w:t xml:space="preserve"> quality </w:t>
      </w:r>
      <w:r w:rsidR="00B104E8">
        <w:rPr>
          <w:sz w:val="22"/>
          <w:szCs w:val="22"/>
        </w:rPr>
        <w:t xml:space="preserve">management </w:t>
      </w:r>
      <w:r w:rsidRPr="00160B06">
        <w:rPr>
          <w:sz w:val="22"/>
          <w:szCs w:val="22"/>
        </w:rPr>
        <w:t>system is robust.</w:t>
      </w:r>
    </w:p>
    <w:p w14:paraId="34AD6EA8" w14:textId="77777777" w:rsidR="00E710A8" w:rsidRPr="005354F5" w:rsidRDefault="00E710A8" w:rsidP="00E710A8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5354F5">
        <w:rPr>
          <w:rFonts w:ascii="Franklin Gothic Book" w:hAnsi="Franklin Gothic Book"/>
          <w:b/>
          <w:sz w:val="24"/>
          <w:szCs w:val="24"/>
        </w:rPr>
        <w:t>Objectives:</w:t>
      </w:r>
    </w:p>
    <w:p w14:paraId="7C7AF3F3" w14:textId="77777777" w:rsidR="00E710A8" w:rsidRPr="00845E4D" w:rsidRDefault="00E710A8" w:rsidP="00E710A8">
      <w:pPr>
        <w:pStyle w:val="first-para"/>
        <w:rPr>
          <w:rFonts w:ascii="Franklin Gothic Book" w:hAnsi="Franklin Gothic Book"/>
          <w:sz w:val="24"/>
          <w:szCs w:val="24"/>
        </w:rPr>
      </w:pPr>
      <w:r w:rsidRPr="00845E4D">
        <w:rPr>
          <w:rFonts w:ascii="Franklin Gothic Book" w:hAnsi="Franklin Gothic Book"/>
          <w:sz w:val="24"/>
          <w:szCs w:val="24"/>
        </w:rPr>
        <w:t>At the end of this learning activity, the participant will be able to:</w:t>
      </w:r>
    </w:p>
    <w:p w14:paraId="5EDF4AE0" w14:textId="77777777" w:rsidR="00E710A8" w:rsidRDefault="00E710A8" w:rsidP="00E710A8">
      <w:pPr>
        <w:pStyle w:val="first-para"/>
        <w:numPr>
          <w:ilvl w:val="0"/>
          <w:numId w:val="12"/>
        </w:numPr>
        <w:spacing w:before="0"/>
        <w:rPr>
          <w:sz w:val="22"/>
          <w:szCs w:val="22"/>
        </w:rPr>
      </w:pPr>
      <w:r>
        <w:rPr>
          <w:sz w:val="22"/>
          <w:szCs w:val="22"/>
        </w:rPr>
        <w:t>D</w:t>
      </w:r>
      <w:r w:rsidR="00160B06" w:rsidRPr="00160B06">
        <w:rPr>
          <w:sz w:val="22"/>
          <w:szCs w:val="22"/>
        </w:rPr>
        <w:t>efine the terms calibration, certified reference material and measurement traceability mean in relation to laboratory testing.</w:t>
      </w:r>
    </w:p>
    <w:p w14:paraId="547D60FF" w14:textId="77777777" w:rsidR="00E710A8" w:rsidRDefault="00E710A8" w:rsidP="00E710A8">
      <w:pPr>
        <w:pStyle w:val="first-para"/>
        <w:numPr>
          <w:ilvl w:val="0"/>
          <w:numId w:val="12"/>
        </w:numPr>
        <w:spacing w:before="0"/>
        <w:rPr>
          <w:sz w:val="22"/>
          <w:szCs w:val="22"/>
        </w:rPr>
      </w:pPr>
      <w:r w:rsidRPr="00E710A8">
        <w:rPr>
          <w:sz w:val="22"/>
          <w:szCs w:val="22"/>
        </w:rPr>
        <w:t>I</w:t>
      </w:r>
      <w:r w:rsidR="00160B06" w:rsidRPr="00E710A8">
        <w:rPr>
          <w:sz w:val="22"/>
          <w:szCs w:val="22"/>
        </w:rPr>
        <w:t>dentify the difference between reference standards and reference materials.</w:t>
      </w:r>
    </w:p>
    <w:p w14:paraId="16DE9E86" w14:textId="1699BF24" w:rsidR="00C96E9A" w:rsidRPr="00E710A8" w:rsidRDefault="00E710A8" w:rsidP="00E710A8">
      <w:pPr>
        <w:pStyle w:val="first-para"/>
        <w:numPr>
          <w:ilvl w:val="0"/>
          <w:numId w:val="12"/>
        </w:numPr>
        <w:spacing w:before="0"/>
        <w:rPr>
          <w:sz w:val="22"/>
          <w:szCs w:val="22"/>
        </w:rPr>
      </w:pPr>
      <w:r w:rsidRPr="00A250E4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0B323C8A" wp14:editId="1A85394C">
                <wp:simplePos x="0" y="0"/>
                <wp:positionH relativeFrom="margin">
                  <wp:posOffset>-34925</wp:posOffset>
                </wp:positionH>
                <wp:positionV relativeFrom="margin">
                  <wp:posOffset>3584917</wp:posOffset>
                </wp:positionV>
                <wp:extent cx="4025900" cy="1524000"/>
                <wp:effectExtent l="0" t="0" r="0" b="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0" cy="152400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6EC4007A" w14:textId="58743564" w:rsidR="00A250E4" w:rsidRPr="004678E2" w:rsidRDefault="00A250E4" w:rsidP="00A250E4">
                            <w:pPr>
                              <w:pStyle w:val="Quote"/>
                            </w:pPr>
                            <w:r>
                              <w:rPr>
                                <w:b/>
                                <w:color w:val="FFFFFF" w:themeColor="background1"/>
                              </w:rPr>
                              <w:t>What is Traceability?  It is a Calibration Hierarchy.   Reference Standards shall be calibrated by a body that can provide traceability (traced back) to a national standard of measurement (a measurement unit, procedure, or standard)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23C8A" id="AutoShape 11" o:spid="_x0000_s1027" style="position:absolute;left:0;text-align:left;margin-left:-2.75pt;margin-top:282.3pt;width:317pt;height:120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" fillcolor="#00a0af" stroked="f" strokeweight="2pt">
                <v:textbox inset=",7.2pt,,10.8pt">
                  <w:txbxContent>
                    <w:p w14:paraId="6EC4007A" w14:textId="58743564" w:rsidR="00A250E4" w:rsidRPr="004678E2" w:rsidRDefault="00A250E4" w:rsidP="00A250E4">
                      <w:pPr>
                        <w:pStyle w:val="Quote"/>
                      </w:pPr>
                      <w:r>
                        <w:rPr>
                          <w:b/>
                          <w:color w:val="FFFFFF" w:themeColor="background1"/>
                        </w:rPr>
                        <w:t>What is Traceability?  It is a Calibration Hierarchy.   Reference Standards shall be calibrated by a body that can provide traceability (traced back) to a national standard of measurement (a measurement unit, procedure, or standard)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>
        <w:rPr>
          <w:sz w:val="22"/>
          <w:szCs w:val="22"/>
        </w:rPr>
        <w:t>D</w:t>
      </w:r>
      <w:r w:rsidR="00160B06" w:rsidRPr="00E710A8">
        <w:rPr>
          <w:sz w:val="22"/>
          <w:szCs w:val="22"/>
        </w:rPr>
        <w:t>escribe the items to document in the laboratory to meet traceability.</w:t>
      </w:r>
    </w:p>
    <w:p w14:paraId="509CD08B" w14:textId="708E1A74" w:rsidR="00E710A8" w:rsidRDefault="004678E2" w:rsidP="00E710A8">
      <w:pPr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274320" distR="114300" simplePos="0" relativeHeight="251666432" behindDoc="1" locked="0" layoutInCell="1" allowOverlap="1" wp14:anchorId="39A3BDD4" wp14:editId="2C2E6241">
                <wp:simplePos x="0" y="0"/>
                <wp:positionH relativeFrom="margin">
                  <wp:posOffset>4579620</wp:posOffset>
                </wp:positionH>
                <wp:positionV relativeFrom="margin">
                  <wp:posOffset>2495550</wp:posOffset>
                </wp:positionV>
                <wp:extent cx="2122805" cy="5227320"/>
                <wp:effectExtent l="0" t="0" r="10795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2805" cy="5227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A0A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002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C6AD7C" w14:textId="7FA073E6" w:rsidR="00C96E9A" w:rsidRDefault="00B104E8" w:rsidP="00C96E9A">
                            <w:pPr>
                              <w:pStyle w:val="Heading1"/>
                            </w:pPr>
                            <w:r>
                              <w:t>Traceability includes specific requirements for:</w:t>
                            </w:r>
                          </w:p>
                          <w:p w14:paraId="4AFA70CC" w14:textId="77777777" w:rsidR="00C96E9A" w:rsidRPr="00452973" w:rsidRDefault="00C96E9A" w:rsidP="004678E2">
                            <w:pPr>
                              <w:pStyle w:val="Quote"/>
                              <w:rPr>
                                <w:color w:val="00A0AF"/>
                              </w:rPr>
                            </w:pPr>
                            <w:r w:rsidRPr="00452973">
                              <w:rPr>
                                <w:color w:val="00A0AF"/>
                              </w:rPr>
                              <w:sym w:font="Symbol" w:char="F0B7"/>
                            </w:r>
                            <w:r w:rsidRPr="00452973">
                              <w:rPr>
                                <w:color w:val="00A0AF"/>
                              </w:rPr>
                              <w:t xml:space="preserve"> </w:t>
                            </w:r>
                            <w:r w:rsidRPr="00452973">
                              <w:rPr>
                                <w:color w:val="00A0AF"/>
                              </w:rPr>
                              <w:sym w:font="Symbol" w:char="F0B7"/>
                            </w:r>
                            <w:r w:rsidRPr="00452973">
                              <w:rPr>
                                <w:color w:val="00A0AF"/>
                              </w:rPr>
                              <w:t xml:space="preserve"> </w:t>
                            </w:r>
                            <w:r w:rsidRPr="00452973">
                              <w:rPr>
                                <w:color w:val="00A0AF"/>
                              </w:rPr>
                              <w:sym w:font="Symbol" w:char="F0B7"/>
                            </w:r>
                          </w:p>
                          <w:p w14:paraId="56F13F89" w14:textId="6E3283A7" w:rsidR="00994AA6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Calibration</w:t>
                            </w:r>
                          </w:p>
                          <w:p w14:paraId="22F181D9" w14:textId="62AACA9C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Testing</w:t>
                            </w:r>
                          </w:p>
                          <w:p w14:paraId="4D2BAD4B" w14:textId="3E98DC24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Reagents and Support</w:t>
                            </w:r>
                          </w:p>
                          <w:p w14:paraId="09421677" w14:textId="1D5ECBB4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Equipment</w:t>
                            </w:r>
                          </w:p>
                          <w:p w14:paraId="58B98916" w14:textId="649B41D7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Reference Standards</w:t>
                            </w:r>
                          </w:p>
                          <w:p w14:paraId="3339BA2F" w14:textId="0A84E91E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Reference Materials</w:t>
                            </w:r>
                          </w:p>
                          <w:p w14:paraId="27EFCAF0" w14:textId="37DBFD68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Intermediate Checks</w:t>
                            </w:r>
                          </w:p>
                          <w:p w14:paraId="0D9557E0" w14:textId="5BB41303" w:rsidR="00B104E8" w:rsidRPr="00B104E8" w:rsidRDefault="00B104E8" w:rsidP="00B104E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1F497D" w:themeColor="text2"/>
                                <w:sz w:val="24"/>
                                <w:szCs w:val="24"/>
                              </w:rPr>
                            </w:pPr>
                            <w:r w:rsidRPr="00B104E8">
                              <w:rPr>
                                <w:rFonts w:ascii="Franklin Gothic Book" w:hAnsi="Franklin Gothic Book"/>
                                <w:color w:val="000000" w:themeColor="text1"/>
                                <w:sz w:val="24"/>
                                <w:szCs w:val="24"/>
                              </w:rPr>
                              <w:t>Transport and Storage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3BDD4" id="Rectangle 1" o:spid="_x0000_s1028" style="position:absolute;margin-left:360.6pt;margin-top:196.5pt;width:167.15pt;height:411.6pt;z-index:-251650048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" filled="f" strokecolor="#00a0af" strokeweight="2pt">
                <v:textbox inset="14.4pt,14.4pt,14.4pt,7.2pt">
                  <w:txbxContent>
                    <w:p w14:paraId="72C6AD7C" w14:textId="7FA073E6" w:rsidR="00C96E9A" w:rsidRDefault="00B104E8" w:rsidP="00C96E9A">
                      <w:pPr>
                        <w:pStyle w:val="Heading1"/>
                      </w:pPr>
                      <w:r>
                        <w:t>Traceability includes specific requirements for:</w:t>
                      </w:r>
                    </w:p>
                    <w:p w14:paraId="4AFA70CC" w14:textId="77777777" w:rsidR="00C96E9A" w:rsidRPr="00452973" w:rsidRDefault="00C96E9A" w:rsidP="004678E2">
                      <w:pPr>
                        <w:pStyle w:val="Quote"/>
                        <w:rPr>
                          <w:color w:val="00A0AF"/>
                        </w:rPr>
                      </w:pPr>
                      <w:r w:rsidRPr="00452973">
                        <w:rPr>
                          <w:color w:val="00A0AF"/>
                        </w:rPr>
                        <w:sym w:font="Symbol" w:char="F0B7"/>
                      </w:r>
                      <w:r w:rsidRPr="00452973">
                        <w:rPr>
                          <w:color w:val="00A0AF"/>
                        </w:rPr>
                        <w:t xml:space="preserve"> </w:t>
                      </w:r>
                      <w:r w:rsidRPr="00452973">
                        <w:rPr>
                          <w:color w:val="00A0AF"/>
                        </w:rPr>
                        <w:sym w:font="Symbol" w:char="F0B7"/>
                      </w:r>
                      <w:r w:rsidRPr="00452973">
                        <w:rPr>
                          <w:color w:val="00A0AF"/>
                        </w:rPr>
                        <w:t xml:space="preserve"> </w:t>
                      </w:r>
                      <w:r w:rsidRPr="00452973">
                        <w:rPr>
                          <w:color w:val="00A0AF"/>
                        </w:rPr>
                        <w:sym w:font="Symbol" w:char="F0B7"/>
                      </w:r>
                    </w:p>
                    <w:p w14:paraId="56F13F89" w14:textId="6E3283A7" w:rsidR="00994AA6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Calibration</w:t>
                      </w:r>
                    </w:p>
                    <w:p w14:paraId="22F181D9" w14:textId="62AACA9C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Testing</w:t>
                      </w:r>
                    </w:p>
                    <w:p w14:paraId="4D2BAD4B" w14:textId="3E98DC24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Reagents and Support</w:t>
                      </w:r>
                    </w:p>
                    <w:p w14:paraId="09421677" w14:textId="1D5ECBB4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Equipment</w:t>
                      </w:r>
                    </w:p>
                    <w:p w14:paraId="58B98916" w14:textId="649B41D7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Reference Standards</w:t>
                      </w:r>
                    </w:p>
                    <w:p w14:paraId="3339BA2F" w14:textId="0A84E91E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Reference Materials</w:t>
                      </w:r>
                    </w:p>
                    <w:p w14:paraId="27EFCAF0" w14:textId="37DBFD68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Intermediate Checks</w:t>
                      </w:r>
                    </w:p>
                    <w:p w14:paraId="0D9557E0" w14:textId="5BB41303" w:rsidR="00B104E8" w:rsidRPr="00B104E8" w:rsidRDefault="00B104E8" w:rsidP="00B104E8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1F497D" w:themeColor="text2"/>
                          <w:sz w:val="24"/>
                          <w:szCs w:val="24"/>
                        </w:rPr>
                      </w:pPr>
                      <w:r w:rsidRPr="00B104E8">
                        <w:rPr>
                          <w:rFonts w:ascii="Franklin Gothic Book" w:hAnsi="Franklin Gothic Book"/>
                          <w:color w:val="000000" w:themeColor="text1"/>
                          <w:sz w:val="24"/>
                          <w:szCs w:val="24"/>
                        </w:rPr>
                        <w:t>Transport and Storage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</w:p>
    <w:p w14:paraId="536A5DB2" w14:textId="524F9C2D" w:rsidR="00E710A8" w:rsidRDefault="00E710A8" w:rsidP="00E710A8">
      <w:pPr>
        <w:rPr>
          <w:b/>
          <w:bCs/>
          <w:color w:val="auto"/>
        </w:rPr>
      </w:pPr>
      <w:r>
        <w:rPr>
          <w:b/>
          <w:bCs/>
        </w:rPr>
        <w:t>Public Health Laboratory Competency Guidelines</w:t>
      </w:r>
    </w:p>
    <w:p w14:paraId="3299636F" w14:textId="77777777" w:rsidR="00E710A8" w:rsidRDefault="00E710A8" w:rsidP="00E710A8">
      <w:pPr>
        <w:rPr>
          <w:rFonts w:ascii="Calibri" w:hAnsi="Calibri"/>
          <w:sz w:val="22"/>
          <w:szCs w:val="22"/>
        </w:rPr>
      </w:pPr>
      <w:r>
        <w:t>This learning activity provides content to support high-level competencies (desired skills or behaviors) for a laboratory professional in the listed domains. Also supports related content areas in the National Laboratory Curriculum Standard Framework.</w:t>
      </w:r>
    </w:p>
    <w:p w14:paraId="7F2B4DB7" w14:textId="77777777" w:rsidR="00E710A8" w:rsidRDefault="00E710A8" w:rsidP="00C96E9A">
      <w:pPr>
        <w:rPr>
          <w:b/>
        </w:rPr>
      </w:pPr>
    </w:p>
    <w:p w14:paraId="1A211DAE" w14:textId="3BE2E474" w:rsidR="00E710A8" w:rsidRDefault="00611A67" w:rsidP="00E710A8">
      <w:r>
        <w:rPr>
          <w:b/>
        </w:rPr>
        <w:t>General (GEN)</w:t>
      </w:r>
      <w:r w:rsidR="00452973">
        <w:rPr>
          <w:b/>
        </w:rPr>
        <w:t xml:space="preserve"> domain</w:t>
      </w:r>
      <w:r w:rsidR="004678E2" w:rsidRPr="00452973">
        <w:rPr>
          <w:b/>
        </w:rPr>
        <w:br/>
      </w:r>
      <w:bookmarkStart w:id="0" w:name="_GoBack"/>
      <w:bookmarkEnd w:id="0"/>
      <w:r w:rsidRPr="00611A67">
        <w:t xml:space="preserve">GEN 1.00 General technical and laboratory practice knowledge: demonstrates general knowledge and skills related to the scientific and technical components of laboratory testing (including technical, troubleshooting, mathematical and statistical skills). </w:t>
      </w:r>
    </w:p>
    <w:p w14:paraId="495B6639" w14:textId="037C692B" w:rsidR="00611A67" w:rsidRPr="00E710A8" w:rsidRDefault="00611A67" w:rsidP="00E710A8">
      <w:pPr>
        <w:pStyle w:val="ListParagraph"/>
        <w:numPr>
          <w:ilvl w:val="0"/>
          <w:numId w:val="13"/>
        </w:numPr>
        <w:rPr>
          <w:rFonts w:ascii="Franklin Gothic Book" w:hAnsi="Franklin Gothic Book"/>
          <w:sz w:val="24"/>
          <w:szCs w:val="24"/>
        </w:rPr>
      </w:pPr>
      <w:r w:rsidRPr="00E710A8">
        <w:rPr>
          <w:rFonts w:ascii="Franklin Gothic Book" w:hAnsi="Franklin Gothic Book"/>
          <w:sz w:val="24"/>
          <w:szCs w:val="24"/>
        </w:rPr>
        <w:t>Documents actions and results using established paper or electronic systems</w:t>
      </w:r>
    </w:p>
    <w:p w14:paraId="526D7671" w14:textId="77777777" w:rsidR="00611A67" w:rsidRPr="00611A67" w:rsidRDefault="00611A67" w:rsidP="00611A67"/>
    <w:p w14:paraId="4C65AFCE" w14:textId="77777777" w:rsidR="00611A67" w:rsidRPr="00611A67" w:rsidRDefault="00611A67" w:rsidP="00611A67">
      <w:r w:rsidRPr="00611A67">
        <w:t>GEN 2.00 Reagent use and storage: adheres to policies and principles regarding the use and storage of laboratory reagents and supplies.</w:t>
      </w:r>
    </w:p>
    <w:p w14:paraId="74165B1B" w14:textId="77777777" w:rsidR="00611A67" w:rsidRPr="00611A67" w:rsidRDefault="00611A67" w:rsidP="00611A67"/>
    <w:p w14:paraId="18B222E2" w14:textId="77777777" w:rsidR="00611A67" w:rsidRPr="00611A67" w:rsidRDefault="00611A67" w:rsidP="00611A67">
      <w:r w:rsidRPr="00611A67">
        <w:t>GEN 3.00 Equipment use: adheres to policies and principles regarding the use, maintenance, and calibration of laboratory equipment.</w:t>
      </w:r>
    </w:p>
    <w:p w14:paraId="04F0E630" w14:textId="77777777" w:rsidR="00611A67" w:rsidRPr="00611A67" w:rsidRDefault="00611A67" w:rsidP="00611A67"/>
    <w:p w14:paraId="28BB67C0" w14:textId="77777777" w:rsidR="00611A67" w:rsidRPr="00611A67" w:rsidRDefault="00611A67" w:rsidP="00611A67">
      <w:r w:rsidRPr="00611A67">
        <w:rPr>
          <w:noProof/>
        </w:rPr>
        <w:t xml:space="preserve">GEN 7.00 Regulatory compliance: complies with regulations and guidelines governing laboratory testing </w:t>
      </w:r>
    </w:p>
    <w:p w14:paraId="3887FFF3" w14:textId="77777777" w:rsidR="00611A67" w:rsidRPr="00611A67" w:rsidRDefault="00611A67" w:rsidP="00611A67"/>
    <w:p w14:paraId="333BEBC2" w14:textId="0DDCF6E0" w:rsidR="00611A67" w:rsidRPr="00611A67" w:rsidRDefault="00611A67" w:rsidP="00611A67">
      <w:pPr>
        <w:rPr>
          <w:b/>
        </w:rPr>
      </w:pPr>
      <w:r w:rsidRPr="00611A67">
        <w:rPr>
          <w:b/>
        </w:rPr>
        <w:t>Informatics (INF) domain</w:t>
      </w:r>
    </w:p>
    <w:p w14:paraId="5472E6E4" w14:textId="57109BF5" w:rsidR="00611A67" w:rsidRPr="00611A67" w:rsidRDefault="00611A67" w:rsidP="00611A67">
      <w:r w:rsidRPr="00611A67">
        <w:t>INF 7.00 Media, reagents, and controls: manages the manufacturing and inventory of media, reagents, and controls electronically.</w:t>
      </w:r>
    </w:p>
    <w:p w14:paraId="067DBD51" w14:textId="38F75BFA" w:rsidR="00994AA6" w:rsidRDefault="00994AA6" w:rsidP="000D5BF7">
      <w:pPr>
        <w:jc w:val="center"/>
      </w:pPr>
    </w:p>
    <w:p w14:paraId="70C26E5E" w14:textId="7625C9A5" w:rsidR="00A250E4" w:rsidRDefault="00A250E4" w:rsidP="00A250E4">
      <w:pPr>
        <w:jc w:val="center"/>
        <w:outlineLvl w:val="0"/>
        <w:rPr>
          <w:rFonts w:ascii="Franklin Gothic Demi" w:hAnsi="Franklin Gothic Demi"/>
          <w:color w:val="00A0AF"/>
          <w:sz w:val="40"/>
          <w:szCs w:val="40"/>
        </w:rPr>
      </w:pPr>
      <w:r>
        <w:rPr>
          <w:rFonts w:ascii="Franklin Gothic Demi" w:hAnsi="Franklin Gothic Demi"/>
          <w:color w:val="00A0AF"/>
          <w:sz w:val="40"/>
          <w:szCs w:val="40"/>
        </w:rPr>
        <w:t>Terms used in traceability</w:t>
      </w:r>
    </w:p>
    <w:p w14:paraId="7FD6EDCA" w14:textId="77777777" w:rsidR="00E710A8" w:rsidRPr="00A250E4" w:rsidRDefault="00E710A8" w:rsidP="00A250E4">
      <w:pPr>
        <w:jc w:val="center"/>
        <w:outlineLvl w:val="0"/>
        <w:rPr>
          <w:rFonts w:ascii="Franklin Gothic Demi" w:hAnsi="Franklin Gothic Demi"/>
          <w:color w:val="00A0AF"/>
          <w:sz w:val="40"/>
          <w:szCs w:val="40"/>
        </w:rPr>
      </w:pPr>
    </w:p>
    <w:p w14:paraId="6E10F545" w14:textId="5195A4A7" w:rsidR="00A250E4" w:rsidRPr="00A250E4" w:rsidRDefault="00A250E4" w:rsidP="00A250E4">
      <w:pPr>
        <w:widowControl/>
        <w:numPr>
          <w:ilvl w:val="0"/>
          <w:numId w:val="8"/>
        </w:numPr>
        <w:tabs>
          <w:tab w:val="num" w:pos="720"/>
        </w:tabs>
        <w:spacing w:after="200" w:line="276" w:lineRule="auto"/>
      </w:pPr>
      <w:r w:rsidRPr="00A250E4">
        <w:rPr>
          <w:b/>
        </w:rPr>
        <w:t>Calibration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T</w:t>
      </w:r>
      <w:r w:rsidRPr="00A250E4">
        <w:t>he comparison of two measurement devices or systems, one of known uncertainty (your standard) and one of unknown uncertainty (your test equipment)</w:t>
      </w:r>
      <w:r w:rsidR="00E710A8">
        <w:t>.</w:t>
      </w:r>
    </w:p>
    <w:p w14:paraId="1B9E5247" w14:textId="74DA8596" w:rsidR="00A250E4" w:rsidRDefault="00A250E4" w:rsidP="00A250E4">
      <w:pPr>
        <w:widowControl/>
        <w:numPr>
          <w:ilvl w:val="0"/>
          <w:numId w:val="8"/>
        </w:numPr>
        <w:tabs>
          <w:tab w:val="num" w:pos="720"/>
        </w:tabs>
        <w:spacing w:after="200" w:line="276" w:lineRule="auto"/>
      </w:pPr>
      <w:r w:rsidRPr="00A250E4">
        <w:rPr>
          <w:b/>
        </w:rPr>
        <w:t>Certified Reference Material (CRM)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R</w:t>
      </w:r>
      <w:r w:rsidRPr="00A250E4">
        <w:t>eference material that has documentation by an authoritative body and providing one or more specified property values with associated uncertainties and traceabilities</w:t>
      </w:r>
      <w:r w:rsidR="00E710A8">
        <w:t>.</w:t>
      </w:r>
    </w:p>
    <w:p w14:paraId="2FA6D4E2" w14:textId="7E43D369" w:rsidR="00A250E4" w:rsidRPr="00A250E4" w:rsidRDefault="00A250E4" w:rsidP="00A250E4">
      <w:pPr>
        <w:widowControl/>
        <w:numPr>
          <w:ilvl w:val="0"/>
          <w:numId w:val="8"/>
        </w:numPr>
        <w:tabs>
          <w:tab w:val="num" w:pos="720"/>
        </w:tabs>
        <w:spacing w:after="200" w:line="276" w:lineRule="auto"/>
      </w:pPr>
      <w:r w:rsidRPr="00A250E4">
        <w:rPr>
          <w:b/>
        </w:rPr>
        <w:t>NIST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</w:t>
      </w:r>
      <w:r w:rsidRPr="00A250E4">
        <w:t>National Institute of Standards and Technology</w:t>
      </w:r>
      <w:r w:rsidR="00E710A8">
        <w:t>.</w:t>
      </w:r>
    </w:p>
    <w:p w14:paraId="23C72B29" w14:textId="6440C1D7" w:rsidR="00A250E4" w:rsidRPr="00A250E4" w:rsidRDefault="00A250E4" w:rsidP="00A250E4">
      <w:pPr>
        <w:widowControl/>
        <w:numPr>
          <w:ilvl w:val="0"/>
          <w:numId w:val="8"/>
        </w:numPr>
        <w:spacing w:after="200" w:line="276" w:lineRule="auto"/>
      </w:pPr>
      <w:r w:rsidRPr="00A250E4">
        <w:rPr>
          <w:b/>
        </w:rPr>
        <w:t>Reference Standard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</w:t>
      </w:r>
      <w:r w:rsidRPr="00A250E4">
        <w:t>A standard, generally having the highest metrological quality available at a given location in a given organization, from which measurements are made or derived. Note: Generally, this refers to recognized national or international traceable standards provided by a standards producing body such as NIST.</w:t>
      </w:r>
    </w:p>
    <w:p w14:paraId="2ACF94AB" w14:textId="7F5C2CC0" w:rsidR="00A250E4" w:rsidRPr="00A250E4" w:rsidRDefault="00A250E4" w:rsidP="00A250E4">
      <w:pPr>
        <w:widowControl/>
        <w:numPr>
          <w:ilvl w:val="0"/>
          <w:numId w:val="8"/>
        </w:numPr>
        <w:spacing w:after="200" w:line="276" w:lineRule="auto"/>
      </w:pPr>
      <w:r w:rsidRPr="00A250E4">
        <w:rPr>
          <w:b/>
        </w:rPr>
        <w:t>Reference Material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</w:t>
      </w:r>
      <w:r w:rsidRPr="00A250E4">
        <w:t>A material, sufficiently homogenous and stable with respect to one or more specified properties, which has been established to be fit for its intended use in a measurement process or in examination of nominal properties.</w:t>
      </w:r>
    </w:p>
    <w:p w14:paraId="7887369D" w14:textId="7CB1F1C9" w:rsidR="00A250E4" w:rsidRPr="00A250E4" w:rsidRDefault="00A250E4" w:rsidP="00A250E4">
      <w:pPr>
        <w:widowControl/>
        <w:numPr>
          <w:ilvl w:val="0"/>
          <w:numId w:val="8"/>
        </w:numPr>
        <w:tabs>
          <w:tab w:val="num" w:pos="720"/>
        </w:tabs>
        <w:spacing w:after="200" w:line="276" w:lineRule="auto"/>
      </w:pPr>
      <w:r w:rsidRPr="00A250E4">
        <w:rPr>
          <w:b/>
        </w:rPr>
        <w:t>Traceability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T</w:t>
      </w:r>
      <w:r w:rsidRPr="00A250E4">
        <w:t>he property of a measurement result whereby the result can be related to a reference through a documented unbroken chain of calibrations, each contributing to the measurement uncertainty</w:t>
      </w:r>
      <w:r w:rsidR="00E710A8">
        <w:t>.</w:t>
      </w:r>
    </w:p>
    <w:p w14:paraId="764724B6" w14:textId="6E3A274D" w:rsidR="00A250E4" w:rsidRPr="00A250E4" w:rsidRDefault="00A250E4" w:rsidP="00A250E4">
      <w:pPr>
        <w:widowControl/>
        <w:numPr>
          <w:ilvl w:val="0"/>
          <w:numId w:val="8"/>
        </w:numPr>
        <w:tabs>
          <w:tab w:val="num" w:pos="720"/>
        </w:tabs>
        <w:spacing w:after="200" w:line="276" w:lineRule="auto"/>
      </w:pPr>
      <w:r w:rsidRPr="00A250E4">
        <w:rPr>
          <w:b/>
        </w:rPr>
        <w:t>Traceability to the International System of Units (SI)</w:t>
      </w:r>
      <w:r w:rsidR="00E710A8">
        <w:rPr>
          <w:b/>
        </w:rPr>
        <w:t xml:space="preserve"> </w:t>
      </w:r>
      <w:r w:rsidRPr="00A250E4">
        <w:t>-</w:t>
      </w:r>
      <w:r w:rsidR="00E710A8">
        <w:t xml:space="preserve"> M</w:t>
      </w:r>
      <w:r w:rsidRPr="00A250E4">
        <w:t>etrological traceability to a measurement unit of the International System of Units</w:t>
      </w:r>
      <w:r w:rsidR="00E710A8">
        <w:t>.</w:t>
      </w:r>
    </w:p>
    <w:p w14:paraId="225847BD" w14:textId="77777777" w:rsidR="00A250E4" w:rsidRPr="00A250E4" w:rsidRDefault="00A250E4" w:rsidP="00A250E4"/>
    <w:p w14:paraId="2FC4ED9C" w14:textId="054ADA9B" w:rsidR="00A250E4" w:rsidRPr="00A250E4" w:rsidRDefault="00A250E4" w:rsidP="00A250E4">
      <w:pPr>
        <w:jc w:val="center"/>
        <w:outlineLvl w:val="0"/>
        <w:rPr>
          <w:rFonts w:ascii="Franklin Gothic Demi" w:hAnsi="Franklin Gothic Demi"/>
          <w:color w:val="00A0AF"/>
          <w:sz w:val="40"/>
          <w:szCs w:val="40"/>
        </w:rPr>
      </w:pPr>
      <w:r w:rsidRPr="00A250E4">
        <w:rPr>
          <w:rFonts w:ascii="Franklin Gothic Demi" w:hAnsi="Franklin Gothic Demi"/>
          <w:color w:val="00A0AF"/>
          <w:sz w:val="40"/>
          <w:szCs w:val="40"/>
        </w:rPr>
        <w:lastRenderedPageBreak/>
        <w:t>Reference Standards vs. Reference Materials</w:t>
      </w:r>
    </w:p>
    <w:p w14:paraId="30DC4C3E" w14:textId="77777777" w:rsidR="00A250E4" w:rsidRPr="00A250E4" w:rsidRDefault="00A250E4" w:rsidP="00A250E4"/>
    <w:p w14:paraId="0E65C6CF" w14:textId="77777777" w:rsidR="00A250E4" w:rsidRPr="00A250E4" w:rsidRDefault="00A250E4" w:rsidP="00A250E4">
      <w:pPr>
        <w:numPr>
          <w:ilvl w:val="0"/>
          <w:numId w:val="9"/>
        </w:numPr>
        <w:spacing w:after="160"/>
        <w:contextualSpacing/>
        <w:rPr>
          <w:b/>
          <w:color w:val="auto"/>
        </w:rPr>
      </w:pPr>
      <w:r w:rsidRPr="00A250E4">
        <w:rPr>
          <w:b/>
          <w:color w:val="auto"/>
        </w:rPr>
        <w:t xml:space="preserve">Reference Standards: </w:t>
      </w:r>
    </w:p>
    <w:p w14:paraId="7188B655" w14:textId="7B366833" w:rsidR="00A250E4" w:rsidRPr="00A250E4" w:rsidRDefault="00A250E4" w:rsidP="00A250E4">
      <w:pPr>
        <w:numPr>
          <w:ilvl w:val="0"/>
          <w:numId w:val="10"/>
        </w:numPr>
        <w:spacing w:after="160"/>
        <w:contextualSpacing/>
        <w:rPr>
          <w:color w:val="auto"/>
        </w:rPr>
      </w:pPr>
      <w:r w:rsidRPr="00A250E4">
        <w:rPr>
          <w:color w:val="auto"/>
        </w:rPr>
        <w:t>Hard and no</w:t>
      </w:r>
      <w:r w:rsidR="00DF79E2">
        <w:rPr>
          <w:color w:val="auto"/>
        </w:rPr>
        <w:t>n-</w:t>
      </w:r>
      <w:r w:rsidRPr="00A250E4">
        <w:rPr>
          <w:color w:val="auto"/>
        </w:rPr>
        <w:t>consumable items</w:t>
      </w:r>
    </w:p>
    <w:p w14:paraId="24C7D17E" w14:textId="77777777" w:rsidR="00A250E4" w:rsidRPr="00A250E4" w:rsidRDefault="00A250E4" w:rsidP="00A250E4">
      <w:pPr>
        <w:numPr>
          <w:ilvl w:val="0"/>
          <w:numId w:val="10"/>
        </w:numPr>
        <w:spacing w:after="160"/>
        <w:contextualSpacing/>
        <w:rPr>
          <w:color w:val="auto"/>
        </w:rPr>
      </w:pPr>
      <w:r w:rsidRPr="00A250E4">
        <w:rPr>
          <w:color w:val="auto"/>
        </w:rPr>
        <w:t>NIST traceable thermometers</w:t>
      </w:r>
    </w:p>
    <w:p w14:paraId="20BC96EE" w14:textId="77777777" w:rsidR="00A250E4" w:rsidRPr="00A250E4" w:rsidRDefault="00A250E4" w:rsidP="00A250E4">
      <w:pPr>
        <w:numPr>
          <w:ilvl w:val="0"/>
          <w:numId w:val="10"/>
        </w:numPr>
        <w:spacing w:after="160"/>
        <w:contextualSpacing/>
        <w:rPr>
          <w:color w:val="auto"/>
        </w:rPr>
      </w:pPr>
      <w:r w:rsidRPr="00A250E4">
        <w:rPr>
          <w:color w:val="auto"/>
        </w:rPr>
        <w:t>Weights</w:t>
      </w:r>
    </w:p>
    <w:p w14:paraId="7DF6FF39" w14:textId="77777777" w:rsidR="00A250E4" w:rsidRPr="00A250E4" w:rsidRDefault="00A250E4" w:rsidP="00A250E4">
      <w:pPr>
        <w:numPr>
          <w:ilvl w:val="0"/>
          <w:numId w:val="10"/>
        </w:numPr>
        <w:spacing w:after="160"/>
        <w:contextualSpacing/>
        <w:rPr>
          <w:color w:val="auto"/>
        </w:rPr>
      </w:pPr>
      <w:r w:rsidRPr="00A250E4">
        <w:rPr>
          <w:color w:val="auto"/>
        </w:rPr>
        <w:t>These items should be used for calibration only to maintain accuracy and integrity</w:t>
      </w:r>
    </w:p>
    <w:p w14:paraId="07AA3AF3" w14:textId="77777777" w:rsidR="00A250E4" w:rsidRPr="00E710A8" w:rsidRDefault="00A250E4" w:rsidP="00A250E4">
      <w:pPr>
        <w:numPr>
          <w:ilvl w:val="0"/>
          <w:numId w:val="10"/>
        </w:numPr>
        <w:spacing w:after="160"/>
        <w:contextualSpacing/>
        <w:rPr>
          <w:color w:val="auto"/>
          <w:szCs w:val="22"/>
        </w:rPr>
      </w:pPr>
      <w:r w:rsidRPr="00A250E4">
        <w:rPr>
          <w:color w:val="auto"/>
        </w:rPr>
        <w:t>They should be calibrated by an ISO/IEC 17025 accredited body that can provide traceability</w:t>
      </w:r>
    </w:p>
    <w:p w14:paraId="271D9234" w14:textId="77777777" w:rsidR="00E710A8" w:rsidRPr="00A250E4" w:rsidRDefault="00E710A8" w:rsidP="00E710A8">
      <w:pPr>
        <w:spacing w:after="160"/>
        <w:ind w:left="1080"/>
        <w:contextualSpacing/>
        <w:rPr>
          <w:color w:val="auto"/>
          <w:szCs w:val="22"/>
        </w:rPr>
      </w:pPr>
    </w:p>
    <w:p w14:paraId="28A43EE4" w14:textId="77777777" w:rsidR="00A250E4" w:rsidRPr="00A250E4" w:rsidRDefault="00A250E4" w:rsidP="00A250E4">
      <w:pPr>
        <w:numPr>
          <w:ilvl w:val="0"/>
          <w:numId w:val="9"/>
        </w:numPr>
        <w:spacing w:after="160"/>
        <w:contextualSpacing/>
        <w:rPr>
          <w:b/>
          <w:color w:val="auto"/>
        </w:rPr>
      </w:pPr>
      <w:r w:rsidRPr="00A250E4">
        <w:rPr>
          <w:b/>
          <w:color w:val="auto"/>
        </w:rPr>
        <w:t>Reference Materials:</w:t>
      </w:r>
    </w:p>
    <w:p w14:paraId="400D76A9" w14:textId="77777777" w:rsidR="00A250E4" w:rsidRPr="00A250E4" w:rsidRDefault="00A250E4" w:rsidP="00A250E4">
      <w:pPr>
        <w:numPr>
          <w:ilvl w:val="0"/>
          <w:numId w:val="11"/>
        </w:numPr>
        <w:spacing w:after="160"/>
        <w:ind w:left="1080"/>
        <w:contextualSpacing/>
        <w:rPr>
          <w:color w:val="auto"/>
        </w:rPr>
      </w:pPr>
      <w:r w:rsidRPr="00A250E4">
        <w:rPr>
          <w:color w:val="auto"/>
        </w:rPr>
        <w:t>Consumables</w:t>
      </w:r>
    </w:p>
    <w:p w14:paraId="5F8E1652" w14:textId="77777777" w:rsidR="00A250E4" w:rsidRPr="00A250E4" w:rsidRDefault="00A250E4" w:rsidP="00A250E4">
      <w:pPr>
        <w:numPr>
          <w:ilvl w:val="0"/>
          <w:numId w:val="11"/>
        </w:numPr>
        <w:spacing w:after="160"/>
        <w:ind w:left="1080"/>
        <w:contextualSpacing/>
        <w:rPr>
          <w:color w:val="auto"/>
        </w:rPr>
      </w:pPr>
      <w:r w:rsidRPr="00A250E4">
        <w:rPr>
          <w:color w:val="auto"/>
        </w:rPr>
        <w:t>Liquid standards</w:t>
      </w:r>
    </w:p>
    <w:p w14:paraId="68FB3B54" w14:textId="77777777" w:rsidR="00A250E4" w:rsidRPr="00A250E4" w:rsidRDefault="00A250E4" w:rsidP="00A250E4">
      <w:pPr>
        <w:numPr>
          <w:ilvl w:val="0"/>
          <w:numId w:val="11"/>
        </w:numPr>
        <w:spacing w:after="160"/>
        <w:ind w:left="1080"/>
        <w:contextualSpacing/>
        <w:rPr>
          <w:color w:val="auto"/>
        </w:rPr>
      </w:pPr>
      <w:r w:rsidRPr="00A250E4">
        <w:rPr>
          <w:color w:val="auto"/>
        </w:rPr>
        <w:t>Proficiency testing materials</w:t>
      </w:r>
    </w:p>
    <w:p w14:paraId="091FE2CE" w14:textId="77777777" w:rsidR="00A250E4" w:rsidRPr="00A250E4" w:rsidRDefault="00A250E4" w:rsidP="00A250E4">
      <w:pPr>
        <w:numPr>
          <w:ilvl w:val="0"/>
          <w:numId w:val="11"/>
        </w:numPr>
        <w:spacing w:after="160"/>
        <w:ind w:left="1080"/>
        <w:contextualSpacing/>
        <w:rPr>
          <w:color w:val="auto"/>
        </w:rPr>
      </w:pPr>
      <w:r w:rsidRPr="00A250E4">
        <w:rPr>
          <w:color w:val="auto"/>
        </w:rPr>
        <w:t>If they cannot be traced to SI units, then they should be provided by a competent supplier to give a reliable physical or chemical characteristic of a material (e.g., PTs)</w:t>
      </w:r>
    </w:p>
    <w:p w14:paraId="7B87AA30" w14:textId="77777777" w:rsidR="00A250E4" w:rsidRDefault="00A250E4" w:rsidP="00A250E4"/>
    <w:p w14:paraId="5076A236" w14:textId="5CC137D4" w:rsidR="00A250E4" w:rsidRPr="001904C3" w:rsidRDefault="00A250E4" w:rsidP="00A250E4">
      <w:r w:rsidRPr="00A250E4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444D214B" wp14:editId="750E999A">
                <wp:simplePos x="0" y="0"/>
                <wp:positionH relativeFrom="column">
                  <wp:posOffset>2012022</wp:posOffset>
                </wp:positionH>
                <wp:positionV relativeFrom="paragraph">
                  <wp:posOffset>798830</wp:posOffset>
                </wp:positionV>
                <wp:extent cx="2360930" cy="1404620"/>
                <wp:effectExtent l="0" t="0" r="11430" b="2603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E4464" w14:textId="77777777" w:rsidR="00A250E4" w:rsidRPr="00A250E4" w:rsidRDefault="00A250E4" w:rsidP="00A250E4">
                            <w:pPr>
                              <w:jc w:val="center"/>
                              <w:rPr>
                                <w:i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A250E4">
                              <w:rPr>
                                <w:i/>
                                <w:color w:val="FFFFFF" w:themeColor="background1"/>
                                <w:sz w:val="40"/>
                                <w:szCs w:val="40"/>
                              </w:rPr>
                              <w:t>Only measurement results can be traceable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44D214B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158.45pt;margin-top:62.9pt;width:185.9pt;height:110.6pt;z-index:25166848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" fillcolor="#00a0af">
                <v:textbox style="mso-fit-shape-to-text:t">
                  <w:txbxContent>
                    <w:p w14:paraId="15EE4464" w14:textId="77777777" w:rsidR="00A250E4" w:rsidRPr="00A250E4" w:rsidRDefault="00A250E4" w:rsidP="00A250E4">
                      <w:pPr>
                        <w:jc w:val="center"/>
                        <w:rPr>
                          <w:i/>
                          <w:color w:val="FFFFFF" w:themeColor="background1"/>
                          <w:sz w:val="40"/>
                          <w:szCs w:val="40"/>
                        </w:rPr>
                      </w:pPr>
                      <w:r w:rsidRPr="00A250E4">
                        <w:rPr>
                          <w:i/>
                          <w:color w:val="FFFFFF" w:themeColor="background1"/>
                          <w:sz w:val="40"/>
                          <w:szCs w:val="40"/>
                        </w:rPr>
                        <w:t>Only measurement results can be traceable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A250E4">
        <w:t xml:space="preserve">Test equipment calibration is not traceable to the National Institute of Standards and Technology (NIST), but to the SI through NIST: </w:t>
      </w:r>
      <w:hyperlink r:id="rId11" w:history="1">
        <w:r w:rsidRPr="00A250E4">
          <w:rPr>
            <w:color w:val="0000FF" w:themeColor="hyperlink"/>
            <w:u w:val="single"/>
          </w:rPr>
          <w:t>http://</w:t>
        </w:r>
      </w:hyperlink>
      <w:hyperlink r:id="rId12" w:history="1">
        <w:r w:rsidRPr="00A250E4">
          <w:rPr>
            <w:color w:val="0000FF" w:themeColor="hyperlink"/>
            <w:u w:val="single"/>
          </w:rPr>
          <w:t>www.nist.gov/index.html</w:t>
        </w:r>
      </w:hyperlink>
    </w:p>
    <w:sectPr w:rsidR="00A250E4" w:rsidRPr="001904C3" w:rsidSect="00611A67">
      <w:footerReference w:type="default" r:id="rId13"/>
      <w:pgSz w:w="12240" w:h="15840"/>
      <w:pgMar w:top="1080" w:right="1080" w:bottom="1080" w:left="1080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E32235" w14:textId="77777777" w:rsidR="00233B22" w:rsidRDefault="00233B22" w:rsidP="00380774">
      <w:r>
        <w:separator/>
      </w:r>
    </w:p>
  </w:endnote>
  <w:endnote w:type="continuationSeparator" w:id="0">
    <w:p w14:paraId="40E06F93" w14:textId="77777777" w:rsidR="00233B22" w:rsidRDefault="00233B22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19320E5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">
                <v:imagedata r:id="rId4" o:title="AAFCO"/>
                <v:path arrowok="t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">
                <v:imagedata r:id="rId5" o:title=""/>
                <v:path arrowok="t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9AC99" w14:textId="77777777" w:rsidR="00233B22" w:rsidRDefault="00233B22" w:rsidP="00380774">
      <w:r>
        <w:separator/>
      </w:r>
    </w:p>
  </w:footnote>
  <w:footnote w:type="continuationSeparator" w:id="0">
    <w:p w14:paraId="11EB0A33" w14:textId="77777777" w:rsidR="00233B22" w:rsidRDefault="00233B22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33A3C"/>
    <w:multiLevelType w:val="hybridMultilevel"/>
    <w:tmpl w:val="8FA8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B67AC"/>
    <w:multiLevelType w:val="hybridMultilevel"/>
    <w:tmpl w:val="F186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B21011F"/>
    <w:multiLevelType w:val="hybridMultilevel"/>
    <w:tmpl w:val="7686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1637F"/>
    <w:multiLevelType w:val="hybridMultilevel"/>
    <w:tmpl w:val="7B90A7FC"/>
    <w:lvl w:ilvl="0" w:tplc="FADA43C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82892"/>
    <w:multiLevelType w:val="hybridMultilevel"/>
    <w:tmpl w:val="39FCCFAE"/>
    <w:lvl w:ilvl="0" w:tplc="A0741CF0">
      <w:start w:val="1"/>
      <w:numFmt w:val="bullet"/>
      <w:lvlText w:val=""/>
      <w:lvlJc w:val="left"/>
      <w:pPr>
        <w:ind w:left="432" w:hanging="14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1E93511"/>
    <w:multiLevelType w:val="hybridMultilevel"/>
    <w:tmpl w:val="1F86C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A449B"/>
    <w:multiLevelType w:val="hybridMultilevel"/>
    <w:tmpl w:val="59B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8"/>
  </w:num>
  <w:num w:numId="7">
    <w:abstractNumId w:val="7"/>
  </w:num>
  <w:num w:numId="8">
    <w:abstractNumId w:val="10"/>
  </w:num>
  <w:num w:numId="9">
    <w:abstractNumId w:val="2"/>
  </w:num>
  <w:num w:numId="10">
    <w:abstractNumId w:val="6"/>
  </w:num>
  <w:num w:numId="11">
    <w:abstractNumId w:val="1"/>
  </w:num>
  <w:num w:numId="12">
    <w:abstractNumId w:val="3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22DB5"/>
    <w:rsid w:val="0003286A"/>
    <w:rsid w:val="000509EA"/>
    <w:rsid w:val="000D5BF7"/>
    <w:rsid w:val="00160B06"/>
    <w:rsid w:val="00162021"/>
    <w:rsid w:val="001904C3"/>
    <w:rsid w:val="001A5431"/>
    <w:rsid w:val="001E57CB"/>
    <w:rsid w:val="00233B22"/>
    <w:rsid w:val="00244C69"/>
    <w:rsid w:val="002F5F22"/>
    <w:rsid w:val="00347BB7"/>
    <w:rsid w:val="00380774"/>
    <w:rsid w:val="003D123B"/>
    <w:rsid w:val="003D6040"/>
    <w:rsid w:val="00452973"/>
    <w:rsid w:val="00466D79"/>
    <w:rsid w:val="004678E2"/>
    <w:rsid w:val="004B3583"/>
    <w:rsid w:val="004D40FA"/>
    <w:rsid w:val="004E0329"/>
    <w:rsid w:val="005347ED"/>
    <w:rsid w:val="005412AF"/>
    <w:rsid w:val="00542309"/>
    <w:rsid w:val="00561F5D"/>
    <w:rsid w:val="005827BD"/>
    <w:rsid w:val="005D4030"/>
    <w:rsid w:val="005F43C4"/>
    <w:rsid w:val="005F4E17"/>
    <w:rsid w:val="00611A67"/>
    <w:rsid w:val="00636B77"/>
    <w:rsid w:val="0064282C"/>
    <w:rsid w:val="00661DFD"/>
    <w:rsid w:val="006623DD"/>
    <w:rsid w:val="006E56B8"/>
    <w:rsid w:val="007126BA"/>
    <w:rsid w:val="00733692"/>
    <w:rsid w:val="007F1637"/>
    <w:rsid w:val="007F52FF"/>
    <w:rsid w:val="00812C65"/>
    <w:rsid w:val="00890190"/>
    <w:rsid w:val="00925629"/>
    <w:rsid w:val="00943B9A"/>
    <w:rsid w:val="00961282"/>
    <w:rsid w:val="00994AA6"/>
    <w:rsid w:val="009A6B8B"/>
    <w:rsid w:val="009C5722"/>
    <w:rsid w:val="009F473C"/>
    <w:rsid w:val="00A250E4"/>
    <w:rsid w:val="00A45E87"/>
    <w:rsid w:val="00A47DFE"/>
    <w:rsid w:val="00A90C10"/>
    <w:rsid w:val="00A93F83"/>
    <w:rsid w:val="00AC7E32"/>
    <w:rsid w:val="00AE6913"/>
    <w:rsid w:val="00B104E8"/>
    <w:rsid w:val="00B23D83"/>
    <w:rsid w:val="00BA0DEE"/>
    <w:rsid w:val="00C056C2"/>
    <w:rsid w:val="00C102DF"/>
    <w:rsid w:val="00C16A03"/>
    <w:rsid w:val="00C85D25"/>
    <w:rsid w:val="00C96E9A"/>
    <w:rsid w:val="00CA39D6"/>
    <w:rsid w:val="00CB6ED2"/>
    <w:rsid w:val="00D31150"/>
    <w:rsid w:val="00D630F7"/>
    <w:rsid w:val="00D7631D"/>
    <w:rsid w:val="00DE7398"/>
    <w:rsid w:val="00DF79E2"/>
    <w:rsid w:val="00E00F29"/>
    <w:rsid w:val="00E21A2A"/>
    <w:rsid w:val="00E56FA8"/>
    <w:rsid w:val="00E6443C"/>
    <w:rsid w:val="00E710A8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0D5BF7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0D5BF7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994AA6"/>
    <w:pPr>
      <w:spacing w:after="160"/>
      <w:ind w:left="1008" w:hanging="288"/>
      <w:contextualSpacing/>
    </w:pPr>
    <w:rPr>
      <w:rFonts w:asciiTheme="minorHAnsi" w:hAnsiTheme="minorHAnsi"/>
      <w:color w:val="auto"/>
      <w:sz w:val="21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paragraph" w:customStyle="1" w:styleId="first-para">
    <w:name w:val="first-para"/>
    <w:basedOn w:val="Normal"/>
    <w:rsid w:val="00C96E9A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250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50E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50E4"/>
    <w:rPr>
      <w:rFonts w:ascii="Franklin Gothic Book" w:hAnsi="Franklin Gothic Book"/>
      <w:color w:val="262626" w:themeColor="text1" w:themeTint="D9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nist.gov/index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nist.gov/index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Q77AU6S3KYZS-4287-175</_dlc_DocId>
    <_dlc_DocIdUrl xmlns="5af08be3-da31-4ed0-bd15-c2f68cc29029">
      <Url>https://www.aphlweb.org/aphl_departments/FS/dfsr/iso17025/_layouts/15/DocIdRedir.aspx?ID=Q77AU6S3KYZS-4287-175</Url>
      <Description>Q77AU6S3KYZS-4287-175</Description>
    </_dlc_DocIdUrl>
    <Module xmlns="fa1fb52d-8fe2-4f49-9882-b9b989e07643">05. Traceability</Module>
    <Final xmlns="fa1fb52d-8fe2-4f49-9882-b9b989e07643">Ready for Production</Fina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7771D9-4BEA-4E8F-8F96-830BFD153B4A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metadata/properties"/>
    <ds:schemaRef ds:uri="fa1fb52d-8fe2-4f49-9882-b9b989e07643"/>
    <ds:schemaRef ds:uri="5af08be3-da31-4ed0-bd15-c2f68cc29029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AF6CF20-6A05-4CAC-9FDE-20A61456EEB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5C15FE-2E6D-4253-B62B-235D878B40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D83298-A24E-4F15-8CC9-EB36C628E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f08be3-da31-4ed0-bd15-c2f68cc29029"/>
    <ds:schemaRef ds:uri="fa1fb52d-8fe2-4f49-9882-b9b989e076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611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Johnson, Catherine | APHL</cp:lastModifiedBy>
  <cp:revision>8</cp:revision>
  <dcterms:created xsi:type="dcterms:W3CDTF">2017-03-28T23:15:00Z</dcterms:created>
  <dcterms:modified xsi:type="dcterms:W3CDTF">2017-06-02T18:10:00Z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c6feef2e-10a0-4d96-8a55-f66fea12ac50</vt:lpwstr>
  </property>
</Properties>
</file>